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3.2.2.2 Contabilizarea costurilor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3.2.2.2 Contabilizarea costurilor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dacă există cheltuieli în avans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TVA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factură de TVA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 factură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date factură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 factură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Creare facturi recurente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 lunară facturi recurente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date factură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 factură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facturi și anexe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date în sistem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 factură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către responsabil de cost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42037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420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25e28e85-40d7-46cb-90dd-a4ee492dc8bb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3739777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dacă există cheltuieli în avans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46309998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TVA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84449926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factură de TVA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08916786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 factură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2297255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date factură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52322526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 factură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3825709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Creare facturi recurente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8155039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 lunară facturi recurente</w:t>
      </w:r>
      <w:bookmarkEnd w:id="13"/>
    </w:p>
    <w:p/>
    <w:p>
      <w:pPr>
        <w:pStyle w:val="BoldModelerNormal"/>
        <w:spacing w:line="20" w:lineRule="atLeast"/>
      </w:pPr>
      <w:r>
        <w:t>Gates</w:t>
      </w:r>
    </w:p>
    <w:p>
      <w:pPr>
        <w:pStyle w:val="BoldModelerNormal"/>
        <w:spacing w:line="20" w:lineRule="atLeast"/>
      </w:pPr>
      <w:r>
        <w:t>Plată facturi furnizori</w:t>
      </w:r>
    </w:p>
    <w:p>
      <w:pPr>
        <w:pStyle w:val="BoldModelerNormal"/>
        <w:spacing w:line="20" w:lineRule="atLeast"/>
      </w:pPr>
    </w:p>
    <w:p>
      <w:pPr>
        <w:pStyle w:val="bizHeading4"/>
      </w:pPr>
      <w:bookmarkStart w:id="14" w:name="_Toc256000013"/>
      <w:r>
        <w:drawing>
          <wp:inline>
            <wp:extent cx="152421" cy="152421"/>
            <wp:docPr id="4769367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date factură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97370326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 factură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44555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facturi și anexe</w:t>
      </w:r>
      <w:bookmarkEnd w:id="16"/>
      <w:r>
        <w:t xml:space="preserve"> </w:t>
      </w:r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7877417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date în sistem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21215384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 factură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2535914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către responsabil de cost</w:t>
      </w:r>
      <w:bookmarkEnd w:id="19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7D5458CA"/>
    <w:multiLevelType w:val="multilevel"/>
    <w:tmpl w:val="7D545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